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tabs>
          <w:tab w:val="clear" w:pos="709"/>
          <w:tab w:val="left" w:pos="2654" w:leader="dot"/>
        </w:tabs>
        <w:rPr>
          <w:rFonts w:ascii="Arial" w:hAnsi="Arial" w:cs="Arial"/>
          <w:color w:val="000000"/>
          <w:spacing w:val="-1"/>
          <w:sz w:val="18"/>
          <w:szCs w:val="18"/>
        </w:rPr>
      </w:pPr>
      <w:r>
        <w:rPr>
          <w:rFonts w:cs="Arial" w:ascii="Arial" w:hAnsi="Arial"/>
          <w:color w:val="000000"/>
          <w:spacing w:val="-1"/>
          <w:sz w:val="18"/>
          <w:szCs w:val="18"/>
        </w:rPr>
      </w:r>
    </w:p>
    <w:p>
      <w:pPr>
        <w:pStyle w:val="Normal"/>
        <w:shd w:val="clear" w:color="auto" w:fill="FFFFFF"/>
        <w:tabs>
          <w:tab w:val="clear" w:pos="709"/>
          <w:tab w:val="left" w:pos="2654" w:leader="dot"/>
        </w:tabs>
        <w:spacing w:lineRule="auto" w:line="360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color w:val="000000"/>
          <w:spacing w:val="-1"/>
          <w:sz w:val="20"/>
          <w:szCs w:val="20"/>
        </w:rPr>
        <w:t>zawarta w dniu</w:t>
      </w:r>
      <w:r>
        <w:rPr>
          <w:rFonts w:cs="Arial" w:ascii="Book Antiqua" w:hAnsi="Book Antiqua"/>
          <w:color w:val="000000"/>
          <w:sz w:val="20"/>
          <w:szCs w:val="20"/>
        </w:rPr>
        <w:t xml:space="preserve"> …. .2026r.</w:t>
      </w:r>
      <w:r>
        <w:rPr>
          <w:rFonts w:cs="Arial" w:ascii="Book Antiqua" w:hAnsi="Book Antiqua"/>
          <w:color w:val="000000"/>
          <w:spacing w:val="3"/>
          <w:sz w:val="20"/>
          <w:szCs w:val="20"/>
        </w:rPr>
        <w:t xml:space="preserve"> pomiędzy:</w:t>
      </w:r>
    </w:p>
    <w:p>
      <w:pPr>
        <w:pStyle w:val="NoSpacing"/>
        <w:spacing w:lineRule="auto" w:line="360"/>
        <w:rPr>
          <w:rFonts w:ascii="Book Antiqua" w:hAnsi="Book Antiqua" w:eastAsia="Times New Roman" w:cs="Arial"/>
          <w:b/>
          <w:color w:val="auto"/>
          <w:sz w:val="20"/>
          <w:szCs w:val="20"/>
          <w:lang w:eastAsia="ar-SA"/>
        </w:rPr>
      </w:pPr>
      <w:r>
        <w:rPr>
          <w:rFonts w:cs="Arial" w:ascii="Book Antiqua" w:hAnsi="Book Antiqua"/>
          <w:b/>
          <w:sz w:val="20"/>
          <w:szCs w:val="20"/>
        </w:rPr>
        <w:t xml:space="preserve">Powiatem Mrągowskim </w:t>
      </w:r>
      <w:r>
        <w:rPr>
          <w:rFonts w:cs="Arial" w:ascii="Book Antiqua" w:hAnsi="Book Antiqua"/>
          <w:b/>
          <w:color w:val="auto"/>
          <w:sz w:val="20"/>
          <w:szCs w:val="20"/>
        </w:rPr>
        <w:t>ul. Królewiecka 60A 11-700 Mrągowo NIP 7421843662</w:t>
      </w:r>
      <w:r>
        <w:rPr>
          <w:rFonts w:cs="Arial" w:ascii="Book Antiqua" w:hAnsi="Book Antiqua"/>
          <w:b/>
          <w:sz w:val="20"/>
          <w:szCs w:val="20"/>
        </w:rPr>
        <w:t xml:space="preserve"> –Centrum Kształcenia Zawodowego i Ustawicznego w Mrągowie  </w:t>
      </w:r>
      <w:r>
        <w:rPr>
          <w:rFonts w:cs="Arial" w:ascii="Book Antiqua" w:hAnsi="Book Antiqua"/>
          <w:sz w:val="20"/>
          <w:szCs w:val="20"/>
        </w:rPr>
        <w:t>z siedzibą w Mrągowie, przy                                ul. Mrongowiusza 65, 11-700 Mrągowo</w:t>
      </w:r>
    </w:p>
    <w:p>
      <w:pPr>
        <w:pStyle w:val="NoSpacing"/>
        <w:spacing w:lineRule="auto" w:line="360"/>
        <w:rPr>
          <w:rFonts w:ascii="Book Antiqua" w:hAnsi="Book Antiqua" w:cs="Arial"/>
          <w:sz w:val="20"/>
          <w:szCs w:val="20"/>
          <w:lang w:eastAsia="pl-PL"/>
        </w:rPr>
      </w:pPr>
      <w:r>
        <w:rPr>
          <w:rFonts w:cs="Arial" w:ascii="Book Antiqua" w:hAnsi="Book Antiqua"/>
          <w:sz w:val="20"/>
          <w:szCs w:val="20"/>
        </w:rPr>
        <w:t>reprezentowanym</w:t>
      </w:r>
      <w:r>
        <w:rPr>
          <w:rFonts w:cs="Arial" w:ascii="Book Antiqua" w:hAnsi="Book Antiqua"/>
          <w:sz w:val="20"/>
          <w:szCs w:val="20"/>
          <w:lang w:eastAsia="pl-PL"/>
        </w:rPr>
        <w:t xml:space="preserve"> przez:</w:t>
      </w:r>
    </w:p>
    <w:p>
      <w:pPr>
        <w:pStyle w:val="NoSpacing"/>
        <w:spacing w:lineRule="auto" w:line="360"/>
        <w:rPr>
          <w:rFonts w:ascii="Book Antiqua" w:hAnsi="Book Antiqua" w:cs="Arial"/>
          <w:color w:val="FF0000"/>
          <w:sz w:val="20"/>
          <w:szCs w:val="20"/>
          <w:lang w:eastAsia="pl-PL"/>
        </w:rPr>
      </w:pPr>
      <w:r>
        <w:rPr>
          <w:rFonts w:cs="Arial" w:ascii="Book Antiqua" w:hAnsi="Book Antiqua"/>
          <w:sz w:val="20"/>
          <w:szCs w:val="20"/>
          <w:lang w:eastAsia="pl-PL"/>
        </w:rPr>
        <w:t>Mirosława Moczydłowskiego -</w:t>
      </w:r>
      <w:r>
        <w:rPr>
          <w:rFonts w:cs="Arial" w:ascii="Book Antiqua" w:hAnsi="Book Antiqua"/>
          <w:sz w:val="20"/>
          <w:szCs w:val="20"/>
        </w:rPr>
        <w:t xml:space="preserve"> </w:t>
      </w:r>
      <w:r>
        <w:rPr>
          <w:rFonts w:cs="Arial" w:ascii="Book Antiqua" w:hAnsi="Book Antiqua"/>
          <w:b/>
          <w:bCs/>
          <w:sz w:val="20"/>
          <w:szCs w:val="20"/>
        </w:rPr>
        <w:t xml:space="preserve">Dyrektora Centrum Kształcenia Zawodowego i Ustawicznego w Mrągowie </w:t>
      </w:r>
      <w:r>
        <w:rPr>
          <w:rFonts w:cs="Arial" w:ascii="Book Antiqua" w:hAnsi="Book Antiqua"/>
          <w:b/>
          <w:bCs/>
          <w:sz w:val="20"/>
          <w:szCs w:val="20"/>
        </w:rPr>
        <w:t>powołany na stanowisko dyrektora Uchwała Nr 257/1900/2023 Zarządu Powiatu w Mrągowie z dnia 19.04.2023 r.</w:t>
      </w:r>
      <w:r>
        <w:rPr>
          <w:rFonts w:cs="Arial" w:ascii="Book Antiqua" w:hAnsi="Book Antiqua"/>
          <w:b/>
          <w:bCs/>
          <w:sz w:val="20"/>
          <w:szCs w:val="20"/>
        </w:rPr>
        <w:t>,</w:t>
      </w:r>
      <w:r>
        <w:rPr>
          <w:rFonts w:cs="Arial" w:ascii="Book Antiqua" w:hAnsi="Book Antiqua"/>
          <w:sz w:val="20"/>
          <w:szCs w:val="20"/>
        </w:rPr>
        <w:t xml:space="preserve">  </w:t>
      </w:r>
      <w:r>
        <w:rPr>
          <w:rFonts w:cs="Arial" w:ascii="Book Antiqua" w:hAnsi="Book Antiqua"/>
          <w:color w:val="000000"/>
          <w:spacing w:val="-2"/>
          <w:sz w:val="20"/>
          <w:szCs w:val="20"/>
        </w:rPr>
        <w:t xml:space="preserve">zwanym w dalszej części umowy </w:t>
      </w:r>
      <w:r>
        <w:rPr>
          <w:rFonts w:cs="Arial" w:ascii="Book Antiqua" w:hAnsi="Book Antiqua"/>
          <w:b/>
          <w:bCs/>
          <w:color w:val="auto"/>
          <w:spacing w:val="-2"/>
          <w:sz w:val="20"/>
          <w:szCs w:val="20"/>
        </w:rPr>
        <w:t>Sprzedającym</w:t>
      </w:r>
    </w:p>
    <w:p>
      <w:pPr>
        <w:pStyle w:val="Normal"/>
        <w:shd w:val="clear" w:color="auto" w:fill="FFFFFF"/>
        <w:spacing w:lineRule="auto" w:line="360" w:before="0" w:after="0"/>
        <w:ind w:left="34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</w:r>
    </w:p>
    <w:p>
      <w:pPr>
        <w:pStyle w:val="Normal"/>
        <w:shd w:val="clear" w:color="auto" w:fill="FFFFFF"/>
        <w:spacing w:lineRule="auto" w:line="360" w:before="5" w:after="200"/>
        <w:rPr>
          <w:rFonts w:ascii="Book Antiqua" w:hAnsi="Book Antiqua" w:cs="Arial"/>
          <w:color w:val="000000"/>
          <w:sz w:val="20"/>
          <w:szCs w:val="20"/>
        </w:rPr>
      </w:pPr>
      <w:r>
        <w:rPr>
          <w:rFonts w:cs="Arial" w:ascii="Book Antiqua" w:hAnsi="Book Antiqua"/>
          <w:color w:val="000000"/>
          <w:sz w:val="20"/>
          <w:szCs w:val="20"/>
        </w:rPr>
        <w:t>a</w:t>
      </w:r>
    </w:p>
    <w:p>
      <w:pPr>
        <w:pStyle w:val="Normal"/>
        <w:shd w:val="clear" w:color="auto" w:fill="FFFFFF"/>
        <w:spacing w:lineRule="auto" w:line="360" w:before="5" w:after="0"/>
        <w:jc w:val="both"/>
        <w:rPr>
          <w:rFonts w:ascii="Book Antiqua" w:hAnsi="Book Antiqua" w:cs="Arial"/>
          <w:color w:val="000000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  <w:t>…………………………………………………………………</w:t>
      </w:r>
      <w:r>
        <w:rPr>
          <w:rFonts w:cs="Arial" w:ascii="Book Antiqua" w:hAnsi="Book Antiqua"/>
          <w:sz w:val="20"/>
          <w:szCs w:val="20"/>
        </w:rPr>
        <w:t xml:space="preserve">..., </w:t>
      </w:r>
      <w:r>
        <w:rPr>
          <w:rFonts w:cs="Arial" w:ascii="Book Antiqua" w:hAnsi="Book Antiqua"/>
          <w:color w:val="000000"/>
          <w:sz w:val="20"/>
          <w:szCs w:val="20"/>
        </w:rPr>
        <w:t xml:space="preserve"> </w:t>
      </w:r>
      <w:r>
        <w:rPr>
          <w:rFonts w:cs="Arial" w:ascii="Book Antiqua" w:hAnsi="Book Antiqua"/>
          <w:sz w:val="20"/>
          <w:szCs w:val="20"/>
        </w:rPr>
        <w:t xml:space="preserve">zwanym w dalszej części umowy </w:t>
      </w:r>
      <w:r>
        <w:rPr>
          <w:rFonts w:cs="Arial" w:ascii="Book Antiqua" w:hAnsi="Book Antiqua"/>
          <w:b/>
          <w:bCs/>
          <w:sz w:val="20"/>
          <w:szCs w:val="20"/>
        </w:rPr>
        <w:t>Nabywcą</w:t>
      </w:r>
    </w:p>
    <w:p>
      <w:pPr>
        <w:pStyle w:val="Normal"/>
        <w:shd w:val="clear" w:color="auto" w:fill="FFFFFF"/>
        <w:spacing w:lineRule="auto" w:line="360" w:before="0" w:after="0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</w:r>
    </w:p>
    <w:p>
      <w:pPr>
        <w:pStyle w:val="Normal"/>
        <w:shd w:val="clear" w:color="auto" w:fill="FFFFFF"/>
        <w:spacing w:lineRule="auto" w:line="360" w:before="0" w:after="0"/>
        <w:ind w:left="85"/>
        <w:jc w:val="center"/>
        <w:rPr>
          <w:rFonts w:ascii="Book Antiqua" w:hAnsi="Book Antiqua" w:cs="Arial"/>
          <w:b/>
          <w:bCs/>
          <w:color w:val="000000"/>
          <w:spacing w:val="-2"/>
          <w:sz w:val="20"/>
          <w:szCs w:val="20"/>
        </w:rPr>
      </w:pPr>
      <w:r>
        <w:rPr>
          <w:rFonts w:cs="Arial" w:ascii="Book Antiqua" w:hAnsi="Book Antiqua"/>
          <w:b/>
          <w:bCs/>
          <w:color w:val="000000"/>
          <w:spacing w:val="-2"/>
          <w:sz w:val="20"/>
          <w:szCs w:val="20"/>
        </w:rPr>
        <w:t>§ 1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color w:val="auto"/>
          <w:sz w:val="20"/>
          <w:szCs w:val="20"/>
        </w:rPr>
      </w:pPr>
      <w:r>
        <w:rPr>
          <w:rFonts w:cs="Arial" w:ascii="Book Antiqua" w:hAnsi="Book Antiqua"/>
          <w:color w:val="auto"/>
          <w:spacing w:val="-1"/>
          <w:sz w:val="20"/>
          <w:szCs w:val="20"/>
        </w:rPr>
        <w:t>Przedmiotem niniejszej umowy jest sprzedaż zbędnych składników rzeczowych majątku ruchomego. Sprzedający zobowiązuje się przenieść na Nabywcę własność:</w:t>
      </w:r>
    </w:p>
    <w:p>
      <w:pPr>
        <w:pStyle w:val="ListParagraph"/>
        <w:numPr>
          <w:ilvl w:val="0"/>
          <w:numId w:val="7"/>
        </w:numPr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color w:val="auto"/>
          <w:sz w:val="20"/>
          <w:szCs w:val="20"/>
        </w:rPr>
      </w:pPr>
      <w:r>
        <w:rPr>
          <w:rFonts w:cs="Arial" w:ascii="Book Antiqua" w:hAnsi="Book Antiqua"/>
          <w:color w:val="auto"/>
          <w:sz w:val="20"/>
          <w:szCs w:val="20"/>
        </w:rPr>
        <w:t>…………………………………</w:t>
      </w:r>
      <w:r>
        <w:rPr>
          <w:rFonts w:cs="Arial" w:ascii="Book Antiqua" w:hAnsi="Book Antiqua"/>
          <w:color w:val="auto"/>
          <w:sz w:val="20"/>
          <w:szCs w:val="20"/>
        </w:rPr>
        <w:t xml:space="preserve">.……, Nr inwentarzowy …………………………… o wartości </w:t>
      </w:r>
    </w:p>
    <w:p>
      <w:pPr>
        <w:pStyle w:val="ListParagraph"/>
        <w:numPr>
          <w:ilvl w:val="0"/>
          <w:numId w:val="7"/>
        </w:numPr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  <w:t>…………………………………</w:t>
      </w:r>
      <w:r>
        <w:rPr>
          <w:rFonts w:cs="Arial" w:ascii="Book Antiqua" w:hAnsi="Book Antiqua"/>
          <w:sz w:val="20"/>
          <w:szCs w:val="20"/>
        </w:rPr>
        <w:t>.……, Nr inwentarzowy …………………………… o wartości</w:t>
      </w:r>
    </w:p>
    <w:p>
      <w:pPr>
        <w:pStyle w:val="ListParagraph"/>
        <w:numPr>
          <w:ilvl w:val="0"/>
          <w:numId w:val="7"/>
        </w:numPr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  <w:t>…………………………………</w:t>
      </w:r>
      <w:r>
        <w:rPr>
          <w:rFonts w:cs="Arial" w:ascii="Book Antiqua" w:hAnsi="Book Antiqua"/>
          <w:sz w:val="20"/>
          <w:szCs w:val="20"/>
        </w:rPr>
        <w:t>.……, Nr inwentarzowy …………………………… o wartości</w:t>
      </w:r>
    </w:p>
    <w:p>
      <w:pPr>
        <w:pStyle w:val="ListParagraph"/>
        <w:numPr>
          <w:ilvl w:val="0"/>
          <w:numId w:val="7"/>
        </w:numPr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  <w:t>…………………………………</w:t>
      </w:r>
      <w:r>
        <w:rPr>
          <w:rFonts w:cs="Arial" w:ascii="Book Antiqua" w:hAnsi="Book Antiqua"/>
          <w:sz w:val="20"/>
          <w:szCs w:val="20"/>
        </w:rPr>
        <w:t>.……, Nr inwentarzowy …………………………… o wartości</w:t>
      </w:r>
    </w:p>
    <w:p>
      <w:pPr>
        <w:pStyle w:val="ListParagraph"/>
        <w:numPr>
          <w:ilvl w:val="0"/>
          <w:numId w:val="7"/>
        </w:numPr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  <w:t>…………………………………</w:t>
      </w:r>
      <w:r>
        <w:rPr>
          <w:rFonts w:cs="Arial" w:ascii="Book Antiqua" w:hAnsi="Book Antiqua"/>
          <w:sz w:val="20"/>
          <w:szCs w:val="20"/>
        </w:rPr>
        <w:t>.……, Nr inwentarzowy …………………………… o wartości</w:t>
      </w:r>
    </w:p>
    <w:p>
      <w:pPr>
        <w:pStyle w:val="Normal"/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ind w:left="720"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  <w:t xml:space="preserve">i wydać mu ten składnik, a </w:t>
      </w:r>
      <w:r>
        <w:rPr>
          <w:rFonts w:cs="Arial" w:ascii="Book Antiqua" w:hAnsi="Book Antiqua"/>
          <w:color w:val="auto"/>
          <w:sz w:val="20"/>
          <w:szCs w:val="20"/>
        </w:rPr>
        <w:t>Nabywca zobowiązuje się składnik ten odebrać i zapłacić Sprzedającemu ustaloną cenę. Sprzedający  oświadcza</w:t>
      </w:r>
      <w:r>
        <w:rPr>
          <w:rFonts w:cs="Arial" w:ascii="Book Antiqua" w:hAnsi="Book Antiqua"/>
          <w:sz w:val="20"/>
          <w:szCs w:val="20"/>
        </w:rPr>
        <w:t xml:space="preserve">, że przedmiot(y) sprzedaży stanowi(ą) jego własność, jest (są) wolny(e) od wad prawnych i jakichkolwiek obciążeń i zabezpieczeń. 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  <w:t>Sprzedający oświadcza, że przedmiot(y) sprzedaży jest jego własnością.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color w:val="auto"/>
          <w:sz w:val="20"/>
          <w:szCs w:val="20"/>
        </w:rPr>
      </w:pPr>
      <w:r>
        <w:rPr>
          <w:rFonts w:cs="Arial" w:ascii="Book Antiqua" w:hAnsi="Book Antiqua"/>
          <w:color w:val="auto"/>
          <w:sz w:val="20"/>
          <w:szCs w:val="20"/>
        </w:rPr>
        <w:t xml:space="preserve">Nabywca </w:t>
      </w:r>
      <w:r>
        <w:rPr>
          <w:rFonts w:cs="Arial" w:ascii="Book Antiqua" w:hAnsi="Book Antiqua"/>
          <w:sz w:val="20"/>
          <w:szCs w:val="20"/>
        </w:rPr>
        <w:t xml:space="preserve">oświadcza, że zapoznał się ze stanem technicznym i prawnym przedmiotu(ów) </w:t>
      </w:r>
      <w:r>
        <w:rPr>
          <w:rFonts w:cs="Arial" w:ascii="Book Antiqua" w:hAnsi="Book Antiqua"/>
          <w:color w:val="auto"/>
          <w:sz w:val="20"/>
          <w:szCs w:val="20"/>
        </w:rPr>
        <w:t>sprzedaży, który akceptuje.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color w:val="auto"/>
          <w:sz w:val="20"/>
          <w:szCs w:val="20"/>
        </w:rPr>
        <w:t>Nabywca oświadcza</w:t>
      </w:r>
      <w:r>
        <w:rPr>
          <w:rFonts w:cs="Arial" w:ascii="Book Antiqua" w:hAnsi="Book Antiqua"/>
          <w:sz w:val="20"/>
          <w:szCs w:val="20"/>
        </w:rPr>
        <w:t>, iż nabywa przedmiot(y) sprzedaży, o którym mowa w ust. 1, w takim stanie technicznym i prawnym, w jakim aktualnie się znajduje i z tego tytułu nie będzie zgłaszał żadnych roszczeń w stosunku do Sprzedającego.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color w:val="auto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  <w:t xml:space="preserve">Sprzedający </w:t>
      </w:r>
      <w:r>
        <w:rPr>
          <w:rFonts w:cs="Arial" w:ascii="Book Antiqua" w:hAnsi="Book Antiqua"/>
          <w:color w:val="auto"/>
          <w:sz w:val="20"/>
          <w:szCs w:val="20"/>
        </w:rPr>
        <w:t>nie udziela gwarancji jakości na przedmiot(y) sprzedaży, o którym mowa w ust. 1.</w:t>
      </w:r>
    </w:p>
    <w:p>
      <w:pPr>
        <w:pStyle w:val="ListParagraph"/>
        <w:numPr>
          <w:ilvl w:val="0"/>
          <w:numId w:val="1"/>
        </w:numPr>
        <w:shd w:val="clear" w:color="auto" w:fill="FFFFFF"/>
        <w:tabs>
          <w:tab w:val="clear" w:pos="709"/>
          <w:tab w:val="left" w:pos="379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color w:val="auto"/>
          <w:sz w:val="20"/>
          <w:szCs w:val="20"/>
        </w:rPr>
      </w:pPr>
      <w:r>
        <w:rPr>
          <w:rFonts w:cs="Arial" w:ascii="Book Antiqua" w:hAnsi="Book Antiqua"/>
          <w:color w:val="auto"/>
          <w:sz w:val="20"/>
          <w:szCs w:val="20"/>
        </w:rPr>
        <w:t>Sprzedający i Nabywca wyłączają odpowiedzialność Sprzedającego z tytułu rękojmi za wady sprzedanej(ych) rzeczy z uwagi na to, że stan fizyczny i prawny jest Nabywcy znany.</w:t>
      </w:r>
    </w:p>
    <w:p>
      <w:pPr>
        <w:pStyle w:val="Normal"/>
        <w:shd w:val="clear" w:color="auto" w:fill="FFFFFF"/>
        <w:spacing w:lineRule="auto" w:line="360" w:before="211" w:after="0"/>
        <w:jc w:val="center"/>
        <w:rPr>
          <w:rFonts w:ascii="Book Antiqua" w:hAnsi="Book Antiqua" w:cs="Arial"/>
          <w:b/>
          <w:bCs/>
          <w:color w:val="000000"/>
          <w:spacing w:val="19"/>
          <w:sz w:val="20"/>
          <w:szCs w:val="20"/>
        </w:rPr>
      </w:pPr>
      <w:r>
        <w:rPr>
          <w:rFonts w:cs="Arial" w:ascii="Book Antiqua" w:hAnsi="Book Antiqua"/>
          <w:b/>
          <w:bCs/>
          <w:color w:val="000000"/>
          <w:spacing w:val="19"/>
          <w:sz w:val="20"/>
          <w:szCs w:val="20"/>
        </w:rPr>
        <w:t>§2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360" w:leader="none"/>
        </w:tabs>
        <w:spacing w:lineRule="auto" w:line="360" w:before="0" w:after="0"/>
        <w:ind w:hanging="357" w:left="714"/>
        <w:jc w:val="both"/>
        <w:rPr>
          <w:rFonts w:ascii="Book Antiqua" w:hAnsi="Book Antiqua" w:cs="Arial"/>
          <w:color w:val="auto"/>
          <w:sz w:val="20"/>
          <w:szCs w:val="20"/>
        </w:rPr>
      </w:pPr>
      <w:r>
        <w:rPr>
          <w:rFonts w:cs="Arial" w:ascii="Book Antiqua" w:hAnsi="Book Antiqua"/>
          <w:color w:val="auto"/>
          <w:sz w:val="20"/>
          <w:szCs w:val="20"/>
        </w:rPr>
        <w:t xml:space="preserve">Sprzedający sprzedaje a Nabywca kupuje przedmiot(y) sprzedaży, o którym(ych) mowa w § 1 za kwotę ________ zł brutto (słownie: __________________________) pomniejszone o kwotę wpłaconego wadium. </w:t>
      </w:r>
    </w:p>
    <w:p>
      <w:pPr>
        <w:pStyle w:val="ListParagraph"/>
        <w:widowControl w:val="false"/>
        <w:numPr>
          <w:ilvl w:val="0"/>
          <w:numId w:val="3"/>
        </w:numPr>
        <w:shd w:val="clear" w:color="auto" w:fill="FFFFFF"/>
        <w:tabs>
          <w:tab w:val="clear" w:pos="709"/>
          <w:tab w:val="left" w:pos="350" w:leader="none"/>
          <w:tab w:val="left" w:pos="5170" w:leader="dot"/>
          <w:tab w:val="left" w:pos="7334" w:leader="dot"/>
        </w:tabs>
        <w:suppressAutoHyphens w:val="false"/>
        <w:overflowPunct w:val="true"/>
        <w:spacing w:lineRule="auto" w:line="360" w:before="0" w:after="0"/>
        <w:contextualSpacing/>
        <w:jc w:val="both"/>
        <w:rPr>
          <w:rFonts w:ascii="Book Antiqua" w:hAnsi="Book Antiqua" w:cs="Arial"/>
          <w:b/>
          <w:bCs/>
          <w:color w:val="000000"/>
          <w:spacing w:val="22"/>
          <w:sz w:val="20"/>
          <w:szCs w:val="20"/>
        </w:rPr>
      </w:pPr>
      <w:r>
        <w:rPr>
          <w:rFonts w:cs="Arial" w:ascii="Book Antiqua" w:hAnsi="Book Antiqua"/>
          <w:color w:val="auto"/>
          <w:sz w:val="20"/>
          <w:szCs w:val="20"/>
        </w:rPr>
        <w:t xml:space="preserve">Nabywca wpłaci kwotę, o której mowa w ust. 1 w terminie do 7 dni od daty podpisania Umowy przez Strony na rachunek bankowy Sprzedającego  </w:t>
      </w:r>
      <w:r>
        <w:rPr>
          <w:rFonts w:cs="Arial" w:ascii="Book Antiqua" w:hAnsi="Book Antiqua"/>
          <w:b/>
          <w:bCs/>
          <w:color w:val="C9211E"/>
          <w:sz w:val="20"/>
          <w:szCs w:val="20"/>
        </w:rPr>
        <w:t>…………………………………….</w:t>
      </w:r>
    </w:p>
    <w:p>
      <w:pPr>
        <w:pStyle w:val="ListParagraph"/>
        <w:widowControl w:val="false"/>
        <w:shd w:val="clear" w:color="auto" w:fill="FFFFFF"/>
        <w:tabs>
          <w:tab w:val="clear" w:pos="709"/>
          <w:tab w:val="left" w:pos="350" w:leader="none"/>
          <w:tab w:val="left" w:pos="5170" w:leader="dot"/>
          <w:tab w:val="left" w:pos="7334" w:leader="dot"/>
        </w:tabs>
        <w:spacing w:lineRule="auto" w:line="360" w:before="0" w:after="0"/>
        <w:contextualSpacing/>
        <w:jc w:val="center"/>
        <w:rPr>
          <w:rFonts w:ascii="Book Antiqua" w:hAnsi="Book Antiqua" w:cs="Arial"/>
          <w:b/>
          <w:bCs/>
          <w:color w:val="000000"/>
          <w:spacing w:val="22"/>
          <w:sz w:val="20"/>
          <w:szCs w:val="20"/>
        </w:rPr>
      </w:pPr>
      <w:r>
        <w:rPr>
          <w:rFonts w:cs="Arial" w:ascii="Book Antiqua" w:hAnsi="Book Antiqua"/>
          <w:b/>
          <w:bCs/>
          <w:color w:val="000000"/>
          <w:spacing w:val="22"/>
          <w:sz w:val="20"/>
          <w:szCs w:val="20"/>
        </w:rPr>
        <w:t>§3</w:t>
      </w:r>
    </w:p>
    <w:p>
      <w:pPr>
        <w:pStyle w:val="ListParagraph"/>
        <w:widowControl w:val="false"/>
        <w:numPr>
          <w:ilvl w:val="0"/>
          <w:numId w:val="2"/>
        </w:numPr>
        <w:shd w:val="clear" w:color="auto" w:fill="FFFFFF"/>
        <w:tabs>
          <w:tab w:val="clear" w:pos="709"/>
          <w:tab w:val="left" w:pos="350" w:leader="none"/>
        </w:tabs>
        <w:spacing w:lineRule="auto" w:line="360" w:before="5" w:after="0"/>
        <w:contextualSpacing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color w:val="000000"/>
          <w:spacing w:val="4"/>
          <w:sz w:val="20"/>
          <w:szCs w:val="20"/>
        </w:rPr>
        <w:t xml:space="preserve">Własność przedmiotu sprzedaży przechodzi na </w:t>
      </w:r>
      <w:r>
        <w:rPr>
          <w:rFonts w:cs="Arial" w:ascii="Book Antiqua" w:hAnsi="Book Antiqua"/>
          <w:color w:val="auto"/>
          <w:spacing w:val="4"/>
          <w:sz w:val="20"/>
          <w:szCs w:val="20"/>
        </w:rPr>
        <w:t>Nabywcę p</w:t>
      </w:r>
      <w:r>
        <w:rPr>
          <w:rFonts w:cs="Arial" w:ascii="Book Antiqua" w:hAnsi="Book Antiqua"/>
          <w:color w:val="000000"/>
          <w:spacing w:val="4"/>
          <w:sz w:val="20"/>
          <w:szCs w:val="20"/>
        </w:rPr>
        <w:t>o zapłaceniu ceny, w rozumieniu uznania przelewu na rachunku bankowym Sprzedającego.</w:t>
      </w:r>
    </w:p>
    <w:p>
      <w:pPr>
        <w:pStyle w:val="ListParagraph"/>
        <w:widowControl w:val="false"/>
        <w:numPr>
          <w:ilvl w:val="0"/>
          <w:numId w:val="2"/>
        </w:numPr>
        <w:shd w:val="clear" w:color="auto" w:fill="FFFFFF"/>
        <w:tabs>
          <w:tab w:val="clear" w:pos="709"/>
          <w:tab w:val="left" w:pos="350" w:leader="none"/>
        </w:tabs>
        <w:spacing w:lineRule="auto" w:line="360" w:before="5" w:after="0"/>
        <w:contextualSpacing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color w:val="auto"/>
          <w:sz w:val="20"/>
          <w:szCs w:val="20"/>
        </w:rPr>
        <w:t>Nabywca</w:t>
      </w:r>
      <w:r>
        <w:rPr>
          <w:rFonts w:cs="Arial" w:ascii="Book Antiqua" w:hAnsi="Book Antiqua"/>
          <w:color w:val="FF0000"/>
          <w:sz w:val="20"/>
          <w:szCs w:val="20"/>
        </w:rPr>
        <w:t xml:space="preserve"> </w:t>
      </w:r>
      <w:r>
        <w:rPr>
          <w:rFonts w:cs="Arial" w:ascii="Book Antiqua" w:hAnsi="Book Antiqua"/>
          <w:sz w:val="20"/>
          <w:szCs w:val="20"/>
        </w:rPr>
        <w:t>zobowiązany jest zgłosić się po odbiór przedmiotu sprzedaży w terminie uzgodnionym przez Strony w miejscu wskazanym przez Sprzedającego pod rygorem odstąpienia od Umowy przez Sprzedającego. Termin odbioru nie może być wcześniejszy niż data uznania przelewu na rachunku bankowym Sprzedającego i późniejszy niż 14 dni od daty, o której mowa powyżej.</w:t>
      </w:r>
    </w:p>
    <w:p>
      <w:pPr>
        <w:pStyle w:val="ListParagraph"/>
        <w:widowControl w:val="false"/>
        <w:numPr>
          <w:ilvl w:val="0"/>
          <w:numId w:val="2"/>
        </w:numPr>
        <w:shd w:val="clear" w:color="auto" w:fill="FFFFFF"/>
        <w:tabs>
          <w:tab w:val="clear" w:pos="709"/>
          <w:tab w:val="left" w:pos="350" w:leader="none"/>
        </w:tabs>
        <w:spacing w:lineRule="auto" w:line="360" w:before="5" w:after="0"/>
        <w:contextualSpacing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  <w:t xml:space="preserve">Dokumentem, na podstawie którego przedmiot sprzedaży zostanie przekazany </w:t>
      </w:r>
      <w:r>
        <w:rPr>
          <w:rFonts w:cs="Arial" w:ascii="Book Antiqua" w:hAnsi="Book Antiqua"/>
          <w:color w:val="auto"/>
          <w:sz w:val="20"/>
          <w:szCs w:val="20"/>
        </w:rPr>
        <w:t>Nabywcy będzie protokół zdawczo – odbiorczy podpisany przez Strony, sporządzony wedłu</w:t>
      </w:r>
      <w:r>
        <w:rPr>
          <w:rFonts w:cs="Arial" w:ascii="Book Antiqua" w:hAnsi="Book Antiqua"/>
          <w:sz w:val="20"/>
          <w:szCs w:val="20"/>
        </w:rPr>
        <w:t>g wzoru stanowiącego załącznik nr 1 do Umowy.</w:t>
      </w:r>
    </w:p>
    <w:p>
      <w:pPr>
        <w:pStyle w:val="ListParagraph"/>
        <w:widowControl w:val="false"/>
        <w:shd w:val="clear" w:color="auto" w:fill="FFFFFF"/>
        <w:tabs>
          <w:tab w:val="clear" w:pos="709"/>
          <w:tab w:val="left" w:pos="398" w:leader="none"/>
        </w:tabs>
        <w:spacing w:lineRule="auto" w:line="360" w:before="0" w:after="0"/>
        <w:ind w:hanging="357" w:left="714"/>
        <w:contextualSpacing/>
        <w:jc w:val="both"/>
        <w:rPr>
          <w:rFonts w:ascii="Book Antiqua" w:hAnsi="Book Antiqua" w:cs="Arial"/>
          <w:color w:val="000000"/>
          <w:spacing w:val="-10"/>
          <w:sz w:val="20"/>
          <w:szCs w:val="20"/>
        </w:rPr>
      </w:pPr>
      <w:r>
        <w:rPr>
          <w:rFonts w:cs="Arial" w:ascii="Book Antiqua" w:hAnsi="Book Antiqua"/>
          <w:color w:val="000000"/>
          <w:spacing w:val="-10"/>
          <w:sz w:val="20"/>
          <w:szCs w:val="20"/>
        </w:rPr>
      </w:r>
    </w:p>
    <w:p>
      <w:pPr>
        <w:pStyle w:val="Normal"/>
        <w:shd w:val="clear" w:color="auto" w:fill="FFFFFF"/>
        <w:spacing w:lineRule="auto" w:line="360" w:before="0" w:after="0"/>
        <w:ind w:hanging="357" w:left="714"/>
        <w:jc w:val="center"/>
        <w:rPr>
          <w:rFonts w:ascii="Book Antiqua" w:hAnsi="Book Antiqua" w:cs="Arial"/>
          <w:b/>
          <w:bCs/>
          <w:color w:val="auto"/>
          <w:spacing w:val="22"/>
          <w:sz w:val="20"/>
          <w:szCs w:val="20"/>
        </w:rPr>
      </w:pPr>
      <w:r>
        <w:rPr>
          <w:rFonts w:cs="Arial" w:ascii="Book Antiqua" w:hAnsi="Book Antiqua"/>
          <w:b/>
          <w:bCs/>
          <w:color w:val="auto"/>
          <w:spacing w:val="22"/>
          <w:sz w:val="20"/>
          <w:szCs w:val="20"/>
        </w:rPr>
        <w:t>§4</w:t>
      </w:r>
    </w:p>
    <w:p>
      <w:pPr>
        <w:pStyle w:val="ListParagraph"/>
        <w:widowControl w:val="false"/>
        <w:numPr>
          <w:ilvl w:val="0"/>
          <w:numId w:val="4"/>
        </w:numPr>
        <w:shd w:val="clear" w:color="auto" w:fill="FFFFFF"/>
        <w:tabs>
          <w:tab w:val="clear" w:pos="709"/>
          <w:tab w:val="left" w:pos="384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color w:val="auto"/>
          <w:spacing w:val="-8"/>
          <w:sz w:val="20"/>
          <w:szCs w:val="20"/>
        </w:rPr>
      </w:pPr>
      <w:r>
        <w:rPr>
          <w:rFonts w:cs="Arial" w:ascii="Book Antiqua" w:hAnsi="Book Antiqua"/>
          <w:color w:val="auto"/>
          <w:spacing w:val="4"/>
          <w:sz w:val="20"/>
          <w:szCs w:val="20"/>
        </w:rPr>
        <w:t>Strony zgodnie oświadczają, że wszelkie koszty oraz obowiązki wynikające z zawarcia Umowy są po stronie Nabywcy, w tym koszty i obowiązki związane z demontażem przedmiotu sprzedaży, a także związane z transportem przedmiotu sprzedaży.</w:t>
      </w:r>
    </w:p>
    <w:p>
      <w:pPr>
        <w:pStyle w:val="ListParagraph"/>
        <w:widowControl w:val="false"/>
        <w:numPr>
          <w:ilvl w:val="0"/>
          <w:numId w:val="4"/>
        </w:numPr>
        <w:shd w:val="clear" w:color="auto" w:fill="FFFFFF"/>
        <w:tabs>
          <w:tab w:val="clear" w:pos="709"/>
          <w:tab w:val="left" w:pos="384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color w:val="auto"/>
          <w:spacing w:val="-8"/>
          <w:sz w:val="20"/>
          <w:szCs w:val="20"/>
        </w:rPr>
      </w:pPr>
      <w:r>
        <w:rPr>
          <w:rFonts w:cs="Arial" w:ascii="Book Antiqua" w:hAnsi="Book Antiqua"/>
          <w:color w:val="auto"/>
          <w:spacing w:val="-8"/>
          <w:sz w:val="20"/>
          <w:szCs w:val="20"/>
        </w:rPr>
        <w:t xml:space="preserve">Strony zgodnie oświadczają, że Nabywca ponosi wszelkie koszty wynikające ze szkód wyrządzonych przez </w:t>
      </w:r>
      <w:r>
        <w:rPr>
          <w:rFonts w:cs="Arial" w:ascii="Book Antiqua" w:hAnsi="Book Antiqua"/>
          <w:strike/>
          <w:color w:val="auto"/>
          <w:spacing w:val="-8"/>
          <w:sz w:val="20"/>
          <w:szCs w:val="20"/>
        </w:rPr>
        <w:t xml:space="preserve"> </w:t>
      </w:r>
      <w:r>
        <w:rPr>
          <w:rFonts w:cs="Arial" w:ascii="Book Antiqua" w:hAnsi="Book Antiqua"/>
          <w:color w:val="auto"/>
          <w:spacing w:val="-8"/>
          <w:sz w:val="20"/>
          <w:szCs w:val="20"/>
        </w:rPr>
        <w:t>Nabywcę związanych z odbiorem czy demontażem przedmiotu sprzedaży.</w:t>
      </w:r>
    </w:p>
    <w:p>
      <w:pPr>
        <w:pStyle w:val="Normal"/>
        <w:widowControl w:val="false"/>
        <w:shd w:val="clear" w:color="auto" w:fill="FFFFFF"/>
        <w:tabs>
          <w:tab w:val="clear" w:pos="709"/>
          <w:tab w:val="left" w:pos="384" w:leader="none"/>
        </w:tabs>
        <w:spacing w:lineRule="auto" w:line="360" w:before="0" w:after="0"/>
        <w:ind w:left="360"/>
        <w:jc w:val="both"/>
        <w:rPr>
          <w:rFonts w:ascii="Book Antiqua" w:hAnsi="Book Antiqua" w:cs="Arial"/>
          <w:color w:val="000000"/>
          <w:spacing w:val="-8"/>
          <w:sz w:val="20"/>
          <w:szCs w:val="20"/>
        </w:rPr>
      </w:pPr>
      <w:r>
        <w:rPr>
          <w:rFonts w:cs="Arial" w:ascii="Book Antiqua" w:hAnsi="Book Antiqua"/>
          <w:color w:val="000000"/>
          <w:spacing w:val="-8"/>
          <w:sz w:val="20"/>
          <w:szCs w:val="20"/>
        </w:rPr>
      </w:r>
    </w:p>
    <w:p>
      <w:pPr>
        <w:pStyle w:val="Normal"/>
        <w:shd w:val="clear" w:color="auto" w:fill="FFFFFF"/>
        <w:spacing w:lineRule="auto" w:line="360" w:before="0" w:after="0"/>
        <w:ind w:left="62"/>
        <w:jc w:val="center"/>
        <w:rPr>
          <w:rFonts w:ascii="Book Antiqua" w:hAnsi="Book Antiqua" w:cs="Arial"/>
          <w:b/>
          <w:bCs/>
          <w:color w:val="000000"/>
          <w:spacing w:val="17"/>
          <w:sz w:val="20"/>
          <w:szCs w:val="20"/>
        </w:rPr>
      </w:pPr>
      <w:r>
        <w:rPr>
          <w:rFonts w:cs="Arial" w:ascii="Book Antiqua" w:hAnsi="Book Antiqua"/>
          <w:b/>
          <w:bCs/>
          <w:color w:val="000000"/>
          <w:spacing w:val="17"/>
          <w:sz w:val="20"/>
          <w:szCs w:val="20"/>
        </w:rPr>
        <w:t>§5</w:t>
      </w:r>
    </w:p>
    <w:p>
      <w:pPr>
        <w:pStyle w:val="ListParagraph"/>
        <w:numPr>
          <w:ilvl w:val="0"/>
          <w:numId w:val="6"/>
        </w:numPr>
        <w:shd w:val="clear" w:color="auto" w:fill="FFFFFF"/>
        <w:tabs>
          <w:tab w:val="clear" w:pos="709"/>
          <w:tab w:val="left" w:pos="374" w:leader="none"/>
          <w:tab w:val="left" w:pos="7157" w:leader="dot"/>
          <w:tab w:val="left" w:pos="8856" w:leader="dot"/>
        </w:tabs>
        <w:overflowPunct w:val="true"/>
        <w:spacing w:lineRule="auto" w:line="360"/>
        <w:jc w:val="both"/>
        <w:rPr>
          <w:rFonts w:ascii="Book Antiqua" w:hAnsi="Book Antiqua" w:cs="Arial"/>
          <w:sz w:val="20"/>
          <w:szCs w:val="20"/>
        </w:rPr>
      </w:pPr>
      <w:bookmarkStart w:id="0" w:name="_Hlk93019402"/>
      <w:bookmarkEnd w:id="0"/>
      <w:r>
        <w:rPr>
          <w:rFonts w:cs="Arial" w:ascii="Book Antiqua" w:hAnsi="Book Antiqua"/>
          <w:sz w:val="20"/>
          <w:szCs w:val="20"/>
        </w:rPr>
        <w:t xml:space="preserve">W przypadku opóźnienia w zapłacie ceny sprzedaży, </w:t>
      </w:r>
      <w:r>
        <w:rPr>
          <w:rFonts w:cs="Arial" w:ascii="Book Antiqua" w:hAnsi="Book Antiqua"/>
          <w:color w:val="auto"/>
          <w:sz w:val="20"/>
          <w:szCs w:val="20"/>
        </w:rPr>
        <w:t xml:space="preserve">Nabywca </w:t>
      </w:r>
      <w:r>
        <w:rPr>
          <w:rFonts w:cs="Arial" w:ascii="Book Antiqua" w:hAnsi="Book Antiqua"/>
          <w:sz w:val="20"/>
          <w:szCs w:val="20"/>
        </w:rPr>
        <w:t>zobowiązany będzie do uiszczenia odsetek ustawowych za opóźnienie.</w:t>
      </w:r>
    </w:p>
    <w:p>
      <w:pPr>
        <w:pStyle w:val="ListParagraph"/>
        <w:numPr>
          <w:ilvl w:val="0"/>
          <w:numId w:val="6"/>
        </w:numPr>
        <w:shd w:val="clear" w:color="auto" w:fill="FFFFFF"/>
        <w:tabs>
          <w:tab w:val="clear" w:pos="709"/>
          <w:tab w:val="left" w:pos="374" w:leader="none"/>
          <w:tab w:val="left" w:pos="7157" w:leader="dot"/>
          <w:tab w:val="left" w:pos="8856" w:leader="dot"/>
        </w:tabs>
        <w:overflowPunct w:val="true"/>
        <w:spacing w:lineRule="auto" w:line="360"/>
        <w:jc w:val="both"/>
        <w:rPr>
          <w:rFonts w:ascii="Book Antiqua" w:hAnsi="Book Antiqua" w:cs="Arial"/>
          <w:sz w:val="20"/>
          <w:szCs w:val="20"/>
        </w:rPr>
      </w:pPr>
      <w:bookmarkStart w:id="1" w:name="_Hlk93019467"/>
      <w:bookmarkStart w:id="2" w:name="_Hlk93019402_kopia_1"/>
      <w:bookmarkEnd w:id="2"/>
      <w:r>
        <w:rPr>
          <w:rFonts w:cs="Arial" w:ascii="Book Antiqua" w:hAnsi="Book Antiqua"/>
          <w:sz w:val="20"/>
          <w:szCs w:val="20"/>
        </w:rPr>
        <w:t>W przypadku opóźnienia w zapłacie ceny sprzedaży w stosunku do terminu określonego w § 2 ust. 2, Sprzedający uprawniony jest do odstąpienia od Umowy bez konieczności wyznaczania dodatkowego terminu.</w:t>
      </w:r>
    </w:p>
    <w:p>
      <w:pPr>
        <w:pStyle w:val="ListParagraph"/>
        <w:numPr>
          <w:ilvl w:val="0"/>
          <w:numId w:val="6"/>
        </w:numPr>
        <w:shd w:val="clear" w:color="auto" w:fill="FFFFFF"/>
        <w:spacing w:lineRule="auto" w:line="360" w:before="0" w:after="0"/>
        <w:contextualSpacing/>
        <w:jc w:val="both"/>
        <w:rPr>
          <w:rFonts w:ascii="Book Antiqua" w:hAnsi="Book Antiqua" w:cs="Arial"/>
          <w:color w:val="000000"/>
          <w:spacing w:val="-2"/>
          <w:sz w:val="20"/>
          <w:szCs w:val="20"/>
        </w:rPr>
      </w:pPr>
      <w:r>
        <w:rPr>
          <w:rFonts w:cs="Arial" w:ascii="Book Antiqua" w:hAnsi="Book Antiqua"/>
          <w:color w:val="000000"/>
          <w:spacing w:val="-2"/>
          <w:sz w:val="20"/>
          <w:szCs w:val="20"/>
        </w:rPr>
        <w:t xml:space="preserve">W </w:t>
      </w:r>
      <w:r>
        <w:rPr>
          <w:rFonts w:cs="Arial" w:ascii="Book Antiqua" w:hAnsi="Book Antiqua"/>
          <w:color w:val="auto"/>
          <w:spacing w:val="-2"/>
          <w:sz w:val="20"/>
          <w:szCs w:val="20"/>
        </w:rPr>
        <w:t xml:space="preserve">przypadku, gdy Kupujący uchyla się od zawarcia umowy lub gdy Kupujący choćby bez zawinienia nie podpisze umowy w terminie 7 dni kalendarzowych od dnia wyboru jego oferty jako najkorzystniejszej po przeprowadzonym przetargu publicznym na sprzedaż zbędnych składników rzeczowych mienia ruchomego - wadium, wpłacone w przetargu publicznym na sprzedaż przedmiotu sprzedaży nie jest zwracane Kupującemu, Umowa </w:t>
      </w:r>
      <w:r>
        <w:rPr>
          <w:rFonts w:cs="Arial" w:ascii="Book Antiqua" w:hAnsi="Book Antiqua"/>
          <w:color w:val="000000"/>
          <w:spacing w:val="-2"/>
          <w:sz w:val="20"/>
          <w:szCs w:val="20"/>
        </w:rPr>
        <w:t>nie zostaje zawarta, a Kupujący traci roszczenie o jej zawarcie.</w:t>
      </w:r>
      <w:bookmarkEnd w:id="1"/>
    </w:p>
    <w:p>
      <w:pPr>
        <w:pStyle w:val="Normal"/>
        <w:shd w:val="clear" w:color="auto" w:fill="FFFFFF"/>
        <w:tabs>
          <w:tab w:val="clear" w:pos="709"/>
          <w:tab w:val="left" w:pos="374" w:leader="none"/>
        </w:tabs>
        <w:spacing w:lineRule="auto" w:line="360" w:before="0" w:after="0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</w:r>
    </w:p>
    <w:p>
      <w:pPr>
        <w:pStyle w:val="Normal"/>
        <w:shd w:val="clear" w:color="auto" w:fill="FFFFFF"/>
        <w:spacing w:lineRule="auto" w:line="360" w:before="0" w:after="0"/>
        <w:ind w:left="48"/>
        <w:jc w:val="center"/>
        <w:rPr>
          <w:rFonts w:ascii="Book Antiqua" w:hAnsi="Book Antiqua" w:cs="Arial"/>
          <w:b/>
          <w:bCs/>
          <w:color w:val="000000"/>
          <w:spacing w:val="22"/>
          <w:sz w:val="20"/>
          <w:szCs w:val="20"/>
        </w:rPr>
      </w:pPr>
      <w:r>
        <w:rPr>
          <w:rFonts w:cs="Arial" w:ascii="Book Antiqua" w:hAnsi="Book Antiqua"/>
          <w:b/>
          <w:bCs/>
          <w:color w:val="000000"/>
          <w:spacing w:val="22"/>
          <w:sz w:val="20"/>
          <w:szCs w:val="20"/>
        </w:rPr>
        <w:t>§6</w:t>
      </w:r>
    </w:p>
    <w:p>
      <w:pPr>
        <w:pStyle w:val="ListParagraph"/>
        <w:widowControl w:val="false"/>
        <w:numPr>
          <w:ilvl w:val="0"/>
          <w:numId w:val="5"/>
        </w:numPr>
        <w:shd w:val="clear" w:color="auto" w:fill="FFFFFF"/>
        <w:tabs>
          <w:tab w:val="clear" w:pos="709"/>
          <w:tab w:val="left" w:pos="370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color w:val="auto"/>
          <w:spacing w:val="-15"/>
          <w:sz w:val="20"/>
          <w:szCs w:val="20"/>
        </w:rPr>
      </w:pPr>
      <w:r>
        <w:rPr>
          <w:rFonts w:cs="Arial" w:ascii="Book Antiqua" w:hAnsi="Book Antiqua"/>
          <w:color w:val="auto"/>
          <w:spacing w:val="-1"/>
          <w:sz w:val="20"/>
          <w:szCs w:val="20"/>
        </w:rPr>
        <w:t>Wszelkie zmiany Umowy wymagają formy pisemnej pod rygorem nieważności.</w:t>
      </w:r>
    </w:p>
    <w:p>
      <w:pPr>
        <w:pStyle w:val="ListParagraph"/>
        <w:widowControl w:val="false"/>
        <w:numPr>
          <w:ilvl w:val="0"/>
          <w:numId w:val="5"/>
        </w:numPr>
        <w:shd w:val="clear" w:color="auto" w:fill="FFFFFF"/>
        <w:tabs>
          <w:tab w:val="clear" w:pos="709"/>
          <w:tab w:val="left" w:pos="370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color w:val="auto"/>
          <w:spacing w:val="-15"/>
          <w:sz w:val="20"/>
          <w:szCs w:val="20"/>
        </w:rPr>
      </w:pPr>
      <w:r>
        <w:rPr>
          <w:rFonts w:cs="Arial" w:ascii="Book Antiqua" w:hAnsi="Book Antiqua"/>
          <w:color w:val="auto"/>
          <w:spacing w:val="-1"/>
          <w:sz w:val="20"/>
          <w:szCs w:val="20"/>
        </w:rPr>
        <w:t>Umowę sporządzono w trzech jednobrzmiących egzemplarzach, z których dwa otrzymuje Sprzedający, a jeden Kupujący.</w:t>
      </w:r>
    </w:p>
    <w:p>
      <w:pPr>
        <w:pStyle w:val="ListParagraph"/>
        <w:numPr>
          <w:ilvl w:val="0"/>
          <w:numId w:val="5"/>
        </w:numPr>
        <w:spacing w:lineRule="auto" w:line="360"/>
        <w:jc w:val="both"/>
        <w:rPr>
          <w:rFonts w:ascii="Book Antiqua" w:hAnsi="Book Antiqua" w:cs="Arial"/>
          <w:color w:val="auto"/>
          <w:spacing w:val="-1"/>
          <w:sz w:val="20"/>
          <w:szCs w:val="20"/>
        </w:rPr>
      </w:pPr>
      <w:r>
        <w:rPr>
          <w:rFonts w:cs="Arial" w:ascii="Book Antiqua" w:hAnsi="Book Antiqua"/>
          <w:color w:val="auto"/>
          <w:spacing w:val="-1"/>
          <w:sz w:val="20"/>
          <w:szCs w:val="20"/>
        </w:rPr>
        <w:t>W sprawach nieuregulowanych Umową stosuje się przepisy Kodeksu cywilnego.</w:t>
      </w:r>
    </w:p>
    <w:p>
      <w:pPr>
        <w:pStyle w:val="ListParagraph"/>
        <w:widowControl w:val="false"/>
        <w:numPr>
          <w:ilvl w:val="0"/>
          <w:numId w:val="5"/>
        </w:numPr>
        <w:shd w:val="clear" w:color="auto" w:fill="FFFFFF"/>
        <w:tabs>
          <w:tab w:val="clear" w:pos="709"/>
          <w:tab w:val="left" w:pos="370" w:leader="none"/>
        </w:tabs>
        <w:spacing w:lineRule="auto" w:line="360" w:before="0" w:after="0"/>
        <w:contextualSpacing/>
        <w:jc w:val="both"/>
        <w:rPr>
          <w:rFonts w:ascii="Book Antiqua" w:hAnsi="Book Antiqua" w:cs="Arial"/>
          <w:color w:val="000000"/>
          <w:spacing w:val="-15"/>
          <w:sz w:val="20"/>
          <w:szCs w:val="20"/>
        </w:rPr>
      </w:pPr>
      <w:r>
        <w:rPr>
          <w:rFonts w:cs="Arial" w:ascii="Book Antiqua" w:hAnsi="Book Antiqua"/>
          <w:color w:val="auto"/>
          <w:spacing w:val="5"/>
          <w:sz w:val="20"/>
          <w:szCs w:val="20"/>
        </w:rPr>
        <w:t xml:space="preserve">W razie sporu, dla którego nie da się wypracować rozwiązania </w:t>
      </w:r>
      <w:r>
        <w:rPr>
          <w:rFonts w:cs="Arial" w:ascii="Book Antiqua" w:hAnsi="Book Antiqua"/>
          <w:color w:val="000000"/>
          <w:spacing w:val="5"/>
          <w:sz w:val="20"/>
          <w:szCs w:val="20"/>
        </w:rPr>
        <w:t>polubownego, właściwy miejscowo i rzeczowo będzie sąd siedziby Sprzedającego.</w:t>
      </w:r>
    </w:p>
    <w:p>
      <w:pPr>
        <w:pStyle w:val="Normal"/>
        <w:widowControl w:val="false"/>
        <w:shd w:val="clear" w:color="auto" w:fill="FFFFFF"/>
        <w:tabs>
          <w:tab w:val="clear" w:pos="709"/>
          <w:tab w:val="left" w:pos="370" w:leader="none"/>
        </w:tabs>
        <w:spacing w:lineRule="auto" w:line="360" w:before="0" w:after="0"/>
        <w:jc w:val="both"/>
        <w:rPr>
          <w:rFonts w:ascii="Book Antiqua" w:hAnsi="Book Antiqua" w:cs="Arial"/>
          <w:color w:val="000000"/>
          <w:spacing w:val="-15"/>
          <w:sz w:val="20"/>
          <w:szCs w:val="20"/>
        </w:rPr>
      </w:pPr>
      <w:r>
        <w:rPr>
          <w:rFonts w:cs="Arial" w:ascii="Book Antiqua" w:hAnsi="Book Antiqua"/>
          <w:color w:val="000000"/>
          <w:spacing w:val="-15"/>
          <w:sz w:val="20"/>
          <w:szCs w:val="20"/>
        </w:rPr>
      </w:r>
    </w:p>
    <w:p>
      <w:pPr>
        <w:pStyle w:val="Normal"/>
        <w:widowControl w:val="false"/>
        <w:shd w:val="clear" w:color="auto" w:fill="FFFFFF"/>
        <w:tabs>
          <w:tab w:val="clear" w:pos="709"/>
          <w:tab w:val="left" w:pos="370" w:leader="none"/>
        </w:tabs>
        <w:spacing w:lineRule="auto" w:line="360" w:before="0" w:after="0"/>
        <w:jc w:val="both"/>
        <w:rPr>
          <w:rFonts w:ascii="Book Antiqua" w:hAnsi="Book Antiqua" w:cs="Arial"/>
          <w:color w:val="000000"/>
          <w:spacing w:val="-15"/>
          <w:sz w:val="20"/>
          <w:szCs w:val="20"/>
        </w:rPr>
      </w:pPr>
      <w:r>
        <w:rPr>
          <w:rFonts w:cs="Arial" w:ascii="Book Antiqua" w:hAnsi="Book Antiqua"/>
          <w:color w:val="000000"/>
          <w:spacing w:val="-15"/>
          <w:sz w:val="20"/>
          <w:szCs w:val="20"/>
        </w:rPr>
      </w:r>
    </w:p>
    <w:p>
      <w:pPr>
        <w:pStyle w:val="Normal"/>
        <w:widowControl w:val="false"/>
        <w:shd w:val="clear" w:color="auto" w:fill="FFFFFF"/>
        <w:tabs>
          <w:tab w:val="clear" w:pos="709"/>
          <w:tab w:val="left" w:pos="370" w:leader="none"/>
        </w:tabs>
        <w:spacing w:lineRule="auto" w:line="360" w:before="0" w:after="0"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  <w:t xml:space="preserve">Załączniki: </w:t>
      </w:r>
    </w:p>
    <w:p>
      <w:pPr>
        <w:pStyle w:val="Normal"/>
        <w:widowControl w:val="false"/>
        <w:shd w:val="clear" w:color="auto" w:fill="FFFFFF"/>
        <w:tabs>
          <w:tab w:val="clear" w:pos="709"/>
          <w:tab w:val="left" w:pos="370" w:leader="none"/>
        </w:tabs>
        <w:spacing w:lineRule="auto" w:line="360" w:before="0" w:after="0"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  <w:t>Załącznik nr 1 - Protokół zdawczo -odbiorczy</w:t>
      </w:r>
    </w:p>
    <w:p>
      <w:pPr>
        <w:pStyle w:val="Normal"/>
        <w:widowControl w:val="false"/>
        <w:shd w:val="clear" w:color="auto" w:fill="FFFFFF"/>
        <w:tabs>
          <w:tab w:val="clear" w:pos="709"/>
          <w:tab w:val="left" w:pos="370" w:leader="none"/>
        </w:tabs>
        <w:spacing w:before="0" w:after="0"/>
        <w:jc w:val="both"/>
        <w:rPr>
          <w:rFonts w:ascii="Book Antiqua" w:hAnsi="Book Antiqua" w:cs="Arial"/>
          <w:sz w:val="20"/>
          <w:szCs w:val="20"/>
        </w:rPr>
      </w:pPr>
      <w:r>
        <w:rPr>
          <w:rFonts w:cs="Arial" w:ascii="Book Antiqua" w:hAnsi="Book Antiqua"/>
          <w:sz w:val="20"/>
          <w:szCs w:val="20"/>
        </w:rPr>
      </w:r>
    </w:p>
    <w:p>
      <w:pPr>
        <w:pStyle w:val="Normal"/>
        <w:widowControl w:val="false"/>
        <w:shd w:val="clear" w:color="auto" w:fill="FFFFFF"/>
        <w:tabs>
          <w:tab w:val="clear" w:pos="709"/>
          <w:tab w:val="left" w:pos="370" w:leader="none"/>
        </w:tabs>
        <w:spacing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072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3032"/>
        <w:gridCol w:w="3006"/>
        <w:gridCol w:w="3034"/>
      </w:tblGrid>
      <w:tr>
        <w:trPr/>
        <w:tc>
          <w:tcPr>
            <w:tcW w:w="3032" w:type="dxa"/>
            <w:tcBorders/>
            <w:shd w:color="auto" w:fill="FFFFFF" w:val="clear"/>
          </w:tcPr>
          <w:p>
            <w:pPr>
              <w:pStyle w:val="Zawartotabeli"/>
              <w:spacing w:before="0" w:after="200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cs="Arial" w:ascii="Book Antiqua" w:hAnsi="Book Antiqua"/>
                <w:b/>
                <w:bCs/>
                <w:sz w:val="20"/>
                <w:szCs w:val="20"/>
              </w:rPr>
              <w:t>Sprzedający</w:t>
            </w:r>
          </w:p>
        </w:tc>
        <w:tc>
          <w:tcPr>
            <w:tcW w:w="3006" w:type="dxa"/>
            <w:tcBorders/>
            <w:shd w:color="auto" w:fill="FFFFFF" w:val="clear"/>
          </w:tcPr>
          <w:p>
            <w:pPr>
              <w:pStyle w:val="Zawartotabeli"/>
              <w:spacing w:before="0" w:after="200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cs="Arial" w:ascii="Book Antiqua" w:hAnsi="Book Antiqua"/>
                <w:b/>
                <w:bCs/>
                <w:sz w:val="20"/>
                <w:szCs w:val="20"/>
              </w:rPr>
            </w:r>
          </w:p>
        </w:tc>
        <w:tc>
          <w:tcPr>
            <w:tcW w:w="3034" w:type="dxa"/>
            <w:tcBorders/>
            <w:shd w:color="auto" w:fill="FFFFFF" w:val="clear"/>
          </w:tcPr>
          <w:p>
            <w:pPr>
              <w:pStyle w:val="Zawartotabeli"/>
              <w:spacing w:before="0" w:after="200"/>
              <w:jc w:val="center"/>
              <w:rPr>
                <w:rFonts w:ascii="Book Antiqua" w:hAnsi="Book Antiqua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 w:ascii="Book Antiqua" w:hAnsi="Book Antiqua"/>
                <w:b/>
                <w:bCs/>
                <w:color w:val="auto"/>
                <w:sz w:val="20"/>
                <w:szCs w:val="20"/>
              </w:rPr>
              <w:t>Kupujący</w:t>
            </w:r>
          </w:p>
        </w:tc>
      </w:tr>
      <w:tr>
        <w:trPr/>
        <w:tc>
          <w:tcPr>
            <w:tcW w:w="3032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006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034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3032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006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034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3032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…</w:t>
            </w:r>
            <w:r>
              <w:rPr>
                <w:rFonts w:cs="Arial" w:ascii="Arial" w:hAnsi="Arial"/>
                <w:sz w:val="20"/>
                <w:szCs w:val="20"/>
              </w:rPr>
              <w:t>...................................................</w:t>
            </w:r>
          </w:p>
        </w:tc>
        <w:tc>
          <w:tcPr>
            <w:tcW w:w="3006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034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  <w:t>…</w:t>
            </w:r>
            <w:r>
              <w:rPr>
                <w:rFonts w:cs="Arial" w:ascii="Arial" w:hAnsi="Arial"/>
                <w:color w:val="auto"/>
                <w:sz w:val="20"/>
                <w:szCs w:val="20"/>
              </w:rPr>
              <w:t>...................................................</w:t>
            </w:r>
          </w:p>
        </w:tc>
      </w:tr>
    </w:tbl>
    <w:p>
      <w:pPr>
        <w:pStyle w:val="Normal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suppressAutoHyphens w:val="false"/>
        <w:overflowPunct w:val="true"/>
        <w:spacing w:lineRule="auto" w:line="240" w:before="0" w:after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  <w:r>
        <w:br w:type="page"/>
      </w:r>
    </w:p>
    <w:p>
      <w:pPr>
        <w:pStyle w:val="Normal"/>
        <w:spacing w:before="0" w:after="200"/>
        <w:jc w:val="right"/>
        <w:rPr>
          <w:rFonts w:ascii="Book Antiqua" w:hAnsi="Book Antiqua" w:cs="Arial"/>
          <w:sz w:val="18"/>
          <w:szCs w:val="18"/>
        </w:rPr>
      </w:pPr>
      <w:r>
        <w:rPr>
          <w:rFonts w:cs="Arial" w:ascii="Book Antiqua" w:hAnsi="Book Antiqua"/>
          <w:sz w:val="18"/>
          <w:szCs w:val="18"/>
        </w:rPr>
        <w:t xml:space="preserve">Załącznik nr 1 do umowy z dnia …………..….……… </w:t>
      </w:r>
    </w:p>
    <w:p>
      <w:pPr>
        <w:pStyle w:val="Normal"/>
        <w:rPr>
          <w:rFonts w:ascii="Book Antiqua" w:hAnsi="Book Antiqua" w:cs="Arial"/>
          <w:sz w:val="18"/>
          <w:szCs w:val="18"/>
        </w:rPr>
      </w:pPr>
      <w:r>
        <w:rPr>
          <w:rFonts w:cs="Arial" w:ascii="Book Antiqua" w:hAnsi="Book Antiqua"/>
          <w:sz w:val="18"/>
          <w:szCs w:val="18"/>
        </w:rPr>
      </w:r>
    </w:p>
    <w:p>
      <w:pPr>
        <w:pStyle w:val="Normal"/>
        <w:jc w:val="center"/>
        <w:rPr>
          <w:rFonts w:ascii="Book Antiqua" w:hAnsi="Book Antiqua" w:cs="Arial"/>
          <w:b/>
          <w:bCs/>
          <w:sz w:val="18"/>
          <w:szCs w:val="18"/>
        </w:rPr>
      </w:pPr>
      <w:r>
        <w:rPr>
          <w:rFonts w:cs="Arial" w:ascii="Book Antiqua" w:hAnsi="Book Antiqua"/>
          <w:b/>
          <w:bCs/>
          <w:sz w:val="18"/>
          <w:szCs w:val="18"/>
        </w:rPr>
        <w:t>Protokół zdawczo – odbiorczy nr……….</w:t>
      </w:r>
    </w:p>
    <w:p>
      <w:pPr>
        <w:pStyle w:val="Normal"/>
        <w:rPr>
          <w:rFonts w:ascii="Book Antiqua" w:hAnsi="Book Antiqua" w:cs="Arial"/>
          <w:sz w:val="18"/>
          <w:szCs w:val="18"/>
        </w:rPr>
      </w:pPr>
      <w:r>
        <w:rPr>
          <w:rFonts w:cs="Arial" w:ascii="Book Antiqua" w:hAnsi="Book Antiqua"/>
          <w:sz w:val="18"/>
          <w:szCs w:val="18"/>
        </w:rPr>
        <w:t xml:space="preserve">1. Sprzedający: Powiat mrągowski. </w:t>
      </w:r>
    </w:p>
    <w:p>
      <w:pPr>
        <w:pStyle w:val="Normal"/>
        <w:rPr>
          <w:rFonts w:ascii="Book Antiqua" w:hAnsi="Book Antiqua" w:cs="Arial"/>
          <w:sz w:val="18"/>
          <w:szCs w:val="18"/>
        </w:rPr>
      </w:pPr>
      <w:r>
        <w:rPr>
          <w:rFonts w:cs="Arial" w:ascii="Book Antiqua" w:hAnsi="Book Antiqua"/>
          <w:sz w:val="18"/>
          <w:szCs w:val="18"/>
        </w:rPr>
        <w:t>2</w:t>
      </w:r>
      <w:r>
        <w:rPr>
          <w:rFonts w:cs="Arial" w:ascii="Book Antiqua" w:hAnsi="Book Antiqua"/>
          <w:color w:val="auto"/>
          <w:sz w:val="18"/>
          <w:szCs w:val="18"/>
        </w:rPr>
        <w:t xml:space="preserve">. Kupujący: </w:t>
      </w:r>
      <w:r>
        <w:rPr>
          <w:rFonts w:cs="Arial" w:ascii="Book Antiqua" w:hAnsi="Book Antiqua"/>
          <w:sz w:val="18"/>
          <w:szCs w:val="18"/>
        </w:rPr>
        <w:t xml:space="preserve">…………………………………………………………………… </w:t>
      </w:r>
    </w:p>
    <w:p>
      <w:pPr>
        <w:pStyle w:val="Normal"/>
        <w:rPr>
          <w:rFonts w:ascii="Book Antiqua" w:hAnsi="Book Antiqua" w:cs="Arial"/>
          <w:sz w:val="18"/>
          <w:szCs w:val="18"/>
        </w:rPr>
      </w:pPr>
      <w:r>
        <w:rPr>
          <w:rFonts w:cs="Arial" w:ascii="Book Antiqua" w:hAnsi="Book Antiqua"/>
          <w:sz w:val="18"/>
          <w:szCs w:val="18"/>
        </w:rPr>
        <w:t>3. Wykaz składników rzeczowych majątku ruchomego, będących przedmiotem sprzedaży:</w:t>
      </w:r>
    </w:p>
    <w:tbl>
      <w:tblPr>
        <w:tblStyle w:val="Tabela-Siatka"/>
        <w:tblW w:w="9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3"/>
        <w:gridCol w:w="2921"/>
        <w:gridCol w:w="906"/>
        <w:gridCol w:w="2128"/>
        <w:gridCol w:w="2402"/>
      </w:tblGrid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cs="Arial" w:ascii="Book Antiqua" w:hAnsi="Book Antiqua"/>
                <w:b/>
                <w:bCs/>
                <w:kern w:val="0"/>
                <w:sz w:val="18"/>
                <w:szCs w:val="18"/>
                <w:lang w:val="pl-PL"/>
              </w:rPr>
              <w:t>Lp.</w:t>
            </w:r>
          </w:p>
        </w:tc>
        <w:tc>
          <w:tcPr>
            <w:tcW w:w="2921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cs="Arial" w:ascii="Book Antiqua" w:hAnsi="Book Antiqua"/>
                <w:b/>
                <w:bCs/>
                <w:kern w:val="0"/>
                <w:sz w:val="18"/>
                <w:szCs w:val="18"/>
                <w:lang w:val="pl-PL"/>
              </w:rPr>
              <w:t>Nazwa składnika</w:t>
            </w:r>
          </w:p>
        </w:tc>
        <w:tc>
          <w:tcPr>
            <w:tcW w:w="906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cs="Arial" w:ascii="Book Antiqua" w:hAnsi="Book Antiqua"/>
                <w:b/>
                <w:bCs/>
                <w:kern w:val="0"/>
                <w:sz w:val="18"/>
                <w:szCs w:val="18"/>
                <w:lang w:val="pl-PL"/>
              </w:rPr>
              <w:t>Ilość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cs="Arial" w:ascii="Book Antiqua" w:hAnsi="Book Antiqua"/>
                <w:b/>
                <w:bCs/>
                <w:kern w:val="0"/>
                <w:sz w:val="18"/>
                <w:szCs w:val="18"/>
                <w:lang w:val="pl-PL"/>
              </w:rPr>
              <w:t>Numer inwentarzowy</w:t>
            </w:r>
          </w:p>
        </w:tc>
        <w:tc>
          <w:tcPr>
            <w:tcW w:w="2402" w:type="dxa"/>
            <w:tcBorders/>
          </w:tcPr>
          <w:p>
            <w:pPr>
              <w:pStyle w:val="Normal"/>
              <w:widowControl/>
              <w:spacing w:before="0" w:after="20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cs="Arial" w:ascii="Book Antiqua" w:hAnsi="Book Antiqua"/>
                <w:b/>
                <w:bCs/>
                <w:kern w:val="0"/>
                <w:sz w:val="18"/>
                <w:szCs w:val="18"/>
                <w:lang w:val="pl-PL"/>
              </w:rPr>
              <w:t>Dodatkowe oznaczenia</w:t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9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906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402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9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906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402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9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906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402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921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906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  <w:tc>
          <w:tcPr>
            <w:tcW w:w="2402" w:type="dxa"/>
            <w:tcBorders/>
          </w:tcPr>
          <w:p>
            <w:pPr>
              <w:pStyle w:val="Normal"/>
              <w:widowControl/>
              <w:spacing w:before="0" w:after="200"/>
              <w:jc w:val="left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cs="Arial" w:ascii="Book Antiqua" w:hAnsi="Book Antiqua"/>
                <w:sz w:val="18"/>
                <w:szCs w:val="18"/>
              </w:rPr>
            </w:r>
          </w:p>
        </w:tc>
      </w:tr>
    </w:tbl>
    <w:p>
      <w:pPr>
        <w:pStyle w:val="Normal"/>
        <w:rPr>
          <w:rFonts w:ascii="Book Antiqua" w:hAnsi="Book Antiqua" w:cs="Arial"/>
          <w:sz w:val="18"/>
          <w:szCs w:val="18"/>
        </w:rPr>
      </w:pPr>
      <w:r>
        <w:rPr>
          <w:rFonts w:cs="Arial" w:ascii="Book Antiqua" w:hAnsi="Book Antiqua"/>
          <w:sz w:val="18"/>
          <w:szCs w:val="18"/>
        </w:rPr>
      </w:r>
    </w:p>
    <w:p>
      <w:pPr>
        <w:pStyle w:val="Normal"/>
        <w:rPr>
          <w:rFonts w:ascii="Book Antiqua" w:hAnsi="Book Antiqua" w:cs="Arial"/>
          <w:sz w:val="18"/>
          <w:szCs w:val="18"/>
        </w:rPr>
      </w:pPr>
      <w:r>
        <w:rPr>
          <w:rFonts w:cs="Arial" w:ascii="Book Antiqua" w:hAnsi="Book Antiqua"/>
          <w:sz w:val="18"/>
          <w:szCs w:val="18"/>
        </w:rPr>
        <w:t>4. Miejsce odbioru: Mrągowo.</w:t>
      </w:r>
    </w:p>
    <w:p>
      <w:pPr>
        <w:pStyle w:val="Normal"/>
        <w:rPr>
          <w:rFonts w:ascii="Book Antiqua" w:hAnsi="Book Antiqua" w:cs="Arial"/>
          <w:sz w:val="18"/>
          <w:szCs w:val="18"/>
        </w:rPr>
      </w:pPr>
      <w:r>
        <w:rPr>
          <w:rFonts w:cs="Arial" w:ascii="Book Antiqua" w:hAnsi="Book Antiqua"/>
          <w:sz w:val="18"/>
          <w:szCs w:val="18"/>
        </w:rPr>
        <w:t>5. Przyjęto bez zastrzeżeń/z zastrzeżeniami (niepotrzebne skreślić).</w:t>
      </w:r>
    </w:p>
    <w:p>
      <w:pPr>
        <w:pStyle w:val="Normal"/>
        <w:rPr>
          <w:rFonts w:ascii="Book Antiqua" w:hAnsi="Book Antiqua" w:cs="Arial"/>
          <w:sz w:val="18"/>
          <w:szCs w:val="18"/>
        </w:rPr>
      </w:pPr>
      <w:r>
        <w:rPr>
          <w:rFonts w:cs="Arial" w:ascii="Book Antiqua" w:hAnsi="Book Antiqua"/>
          <w:sz w:val="18"/>
          <w:szCs w:val="18"/>
        </w:rPr>
      </w:r>
    </w:p>
    <w:p>
      <w:pPr>
        <w:pStyle w:val="Normal"/>
        <w:rPr>
          <w:rFonts w:ascii="Book Antiqua" w:hAnsi="Book Antiqua" w:cs="Arial"/>
          <w:color w:val="auto"/>
          <w:sz w:val="18"/>
          <w:szCs w:val="18"/>
        </w:rPr>
      </w:pPr>
      <w:r>
        <w:rPr>
          <w:rFonts w:cs="Arial" w:ascii="Book Antiqua" w:hAnsi="Book Antiqua"/>
          <w:color w:val="auto"/>
          <w:sz w:val="18"/>
          <w:szCs w:val="18"/>
        </w:rPr>
      </w:r>
    </w:p>
    <w:tbl>
      <w:tblPr>
        <w:tblW w:w="9072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3032"/>
        <w:gridCol w:w="3006"/>
        <w:gridCol w:w="3034"/>
      </w:tblGrid>
      <w:tr>
        <w:trPr/>
        <w:tc>
          <w:tcPr>
            <w:tcW w:w="3032" w:type="dxa"/>
            <w:tcBorders/>
            <w:shd w:color="auto" w:fill="FFFFFF" w:val="clear"/>
          </w:tcPr>
          <w:p>
            <w:pPr>
              <w:pStyle w:val="Zawartotabeli"/>
              <w:spacing w:before="0" w:after="200"/>
              <w:jc w:val="center"/>
              <w:rPr>
                <w:rFonts w:ascii="Book Antiqua" w:hAnsi="Book Antiqua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 w:ascii="Book Antiqua" w:hAnsi="Book Antiqua"/>
                <w:b/>
                <w:bCs/>
                <w:color w:val="auto"/>
                <w:sz w:val="20"/>
                <w:szCs w:val="20"/>
              </w:rPr>
              <w:t>Sprzedający</w:t>
            </w:r>
          </w:p>
        </w:tc>
        <w:tc>
          <w:tcPr>
            <w:tcW w:w="3006" w:type="dxa"/>
            <w:tcBorders/>
            <w:shd w:color="auto" w:fill="FFFFFF" w:val="clear"/>
          </w:tcPr>
          <w:p>
            <w:pPr>
              <w:pStyle w:val="Zawartotabeli"/>
              <w:spacing w:before="0" w:after="200"/>
              <w:jc w:val="center"/>
              <w:rPr>
                <w:rFonts w:ascii="Book Antiqua" w:hAnsi="Book Antiqua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 w:ascii="Book Antiqua" w:hAnsi="Book Antiqua"/>
                <w:b/>
                <w:bCs/>
                <w:color w:val="auto"/>
                <w:sz w:val="20"/>
                <w:szCs w:val="20"/>
              </w:rPr>
            </w:r>
          </w:p>
        </w:tc>
        <w:tc>
          <w:tcPr>
            <w:tcW w:w="3034" w:type="dxa"/>
            <w:tcBorders/>
            <w:shd w:color="auto" w:fill="FFFFFF" w:val="clear"/>
          </w:tcPr>
          <w:p>
            <w:pPr>
              <w:pStyle w:val="Zawartotabeli"/>
              <w:spacing w:before="0" w:after="200"/>
              <w:jc w:val="center"/>
              <w:rPr>
                <w:rFonts w:ascii="Book Antiqua" w:hAnsi="Book Antiqua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 w:ascii="Book Antiqua" w:hAnsi="Book Antiqua"/>
                <w:b/>
                <w:bCs/>
                <w:color w:val="auto"/>
                <w:sz w:val="20"/>
                <w:szCs w:val="20"/>
              </w:rPr>
              <w:t>Kupujący</w:t>
            </w:r>
          </w:p>
        </w:tc>
      </w:tr>
      <w:tr>
        <w:trPr/>
        <w:tc>
          <w:tcPr>
            <w:tcW w:w="3032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</w:r>
          </w:p>
        </w:tc>
        <w:tc>
          <w:tcPr>
            <w:tcW w:w="3006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</w:r>
          </w:p>
        </w:tc>
        <w:tc>
          <w:tcPr>
            <w:tcW w:w="3034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3032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</w:r>
          </w:p>
        </w:tc>
        <w:tc>
          <w:tcPr>
            <w:tcW w:w="3006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</w:r>
          </w:p>
        </w:tc>
        <w:tc>
          <w:tcPr>
            <w:tcW w:w="3034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3032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  <w:t>…</w:t>
            </w:r>
            <w:r>
              <w:rPr>
                <w:rFonts w:cs="Arial" w:ascii="Arial" w:hAnsi="Arial"/>
                <w:color w:val="auto"/>
                <w:sz w:val="20"/>
                <w:szCs w:val="20"/>
              </w:rPr>
              <w:t>...................................................</w:t>
            </w:r>
          </w:p>
        </w:tc>
        <w:tc>
          <w:tcPr>
            <w:tcW w:w="3006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</w:r>
          </w:p>
        </w:tc>
        <w:tc>
          <w:tcPr>
            <w:tcW w:w="3034" w:type="dxa"/>
            <w:tcBorders/>
            <w:shd w:color="auto" w:fill="FFFFFF" w:val="clear"/>
            <w:vAlign w:val="bottom"/>
          </w:tcPr>
          <w:p>
            <w:pPr>
              <w:pStyle w:val="Zawartotabeli"/>
              <w:spacing w:before="0" w:after="20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  <w:t>…</w:t>
            </w:r>
            <w:r>
              <w:rPr>
                <w:rFonts w:cs="Arial" w:ascii="Arial" w:hAnsi="Arial"/>
                <w:color w:val="auto"/>
                <w:sz w:val="20"/>
                <w:szCs w:val="20"/>
              </w:rPr>
              <w:t>...................................................</w:t>
            </w:r>
          </w:p>
        </w:tc>
      </w:tr>
    </w:tbl>
    <w:p>
      <w:pPr>
        <w:pStyle w:val="Normal"/>
        <w:rPr>
          <w:rFonts w:ascii="Book Antiqua" w:hAnsi="Book Antiqua" w:cs="Arial"/>
          <w:sz w:val="18"/>
          <w:szCs w:val="18"/>
        </w:rPr>
      </w:pPr>
      <w:r>
        <w:rPr>
          <w:rFonts w:cs="Arial" w:ascii="Book Antiqua" w:hAnsi="Book Antiqua"/>
          <w:sz w:val="18"/>
          <w:szCs w:val="18"/>
        </w:rPr>
      </w:r>
    </w:p>
    <w:p>
      <w:pPr>
        <w:pStyle w:val="Normal"/>
        <w:spacing w:before="0" w:after="200"/>
        <w:rPr>
          <w:rFonts w:ascii="Book Antiqua" w:hAnsi="Book Antiqua" w:cs="Arial"/>
          <w:sz w:val="18"/>
          <w:szCs w:val="18"/>
        </w:rPr>
      </w:pPr>
      <w:r>
        <w:rPr>
          <w:rFonts w:cs="Arial" w:ascii="Book Antiqua" w:hAnsi="Book Antiqua"/>
          <w:sz w:val="18"/>
          <w:szCs w:val="18"/>
        </w:rPr>
      </w:r>
    </w:p>
    <w:sectPr>
      <w:footerReference w:type="default" r:id="rId2"/>
      <w:type w:val="nextPage"/>
      <w:pgSz w:w="11906" w:h="16838"/>
      <w:pgMar w:left="1418" w:right="1418" w:gutter="0" w:header="0" w:top="1418" w:footer="283" w:bottom="188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Unicode MS">
    <w:charset w:val="ee"/>
    <w:family w:val="roman"/>
    <w:pitch w:val="variable"/>
  </w:font>
  <w:font w:name="Arial">
    <w:charset w:val="ee"/>
    <w:family w:val="roman"/>
    <w:pitch w:val="variable"/>
  </w:font>
  <w:font w:name="Book Antiqu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themeColor="accent1" w:val="4F81BD"/>
        <w:sz w:val="20"/>
        <w:szCs w:val="20"/>
      </w:rPr>
    </w:pPr>
    <w:r>
      <w:rPr>
        <w:color w:themeColor="accent1" w:val="4F81BD"/>
        <w:sz w:val="20"/>
        <w:szCs w:val="20"/>
      </w:rPr>
      <w:t xml:space="preserve">Strona </w:t>
    </w:r>
    <w:r>
      <w:rPr>
        <w:color w:themeColor="accent1" w:val="4F81BD"/>
        <w:sz w:val="20"/>
        <w:szCs w:val="20"/>
      </w:rPr>
      <w:fldChar w:fldCharType="begin"/>
    </w:r>
    <w:r>
      <w:rPr>
        <w:sz w:val="20"/>
        <w:szCs w:val="20"/>
        <w:color w:themeColor="accent1" w:val="4F81BD"/>
      </w:rPr>
      <w:instrText xml:space="preserve"> PAGE </w:instrText>
    </w:r>
    <w:r>
      <w:rPr>
        <w:sz w:val="20"/>
        <w:szCs w:val="20"/>
        <w:color w:themeColor="accent1" w:val="4F81BD"/>
      </w:rPr>
      <w:fldChar w:fldCharType="separate"/>
    </w:r>
    <w:r>
      <w:rPr>
        <w:sz w:val="20"/>
        <w:szCs w:val="20"/>
        <w:color w:themeColor="accent1" w:val="4F81BD"/>
      </w:rPr>
      <w:t>4</w:t>
    </w:r>
    <w:r>
      <w:rPr>
        <w:sz w:val="20"/>
        <w:szCs w:val="20"/>
        <w:color w:themeColor="accent1" w:val="4F81BD"/>
      </w:rPr>
      <w:fldChar w:fldCharType="end"/>
    </w:r>
    <w:r>
      <w:rPr>
        <w:color w:themeColor="accent1" w:val="4F81BD"/>
        <w:sz w:val="20"/>
        <w:szCs w:val="20"/>
      </w:rPr>
      <w:t xml:space="preserve"> z </w:t>
    </w:r>
    <w:r>
      <w:rPr>
        <w:color w:themeColor="accent1" w:val="4F81BD"/>
        <w:sz w:val="20"/>
        <w:szCs w:val="20"/>
      </w:rPr>
      <w:fldChar w:fldCharType="begin"/>
    </w:r>
    <w:r>
      <w:rPr>
        <w:sz w:val="20"/>
        <w:szCs w:val="20"/>
        <w:color w:themeColor="accent1" w:val="4F81BD"/>
      </w:rPr>
      <w:instrText xml:space="preserve"> NUMPAGES </w:instrText>
    </w:r>
    <w:r>
      <w:rPr>
        <w:sz w:val="20"/>
        <w:szCs w:val="20"/>
        <w:color w:themeColor="accent1" w:val="4F81BD"/>
      </w:rPr>
      <w:fldChar w:fldCharType="separate"/>
    </w:r>
    <w:r>
      <w:rPr>
        <w:sz w:val="20"/>
        <w:szCs w:val="20"/>
        <w:color w:themeColor="accent1" w:val="4F81BD"/>
      </w:rPr>
      <w:t>4</w:t>
    </w:r>
    <w:r>
      <w:rPr>
        <w:sz w:val="20"/>
        <w:szCs w:val="20"/>
        <w:color w:themeColor="accent1" w:val="4F81BD"/>
      </w:rPr>
      <w:fldChar w:fldCharType="end"/>
    </w:r>
  </w:p>
  <w:p>
    <w:pPr>
      <w:pStyle w:val="Footer"/>
      <w:spacing w:before="0" w:after="200"/>
      <w:jc w:val="right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18"/>
        <w:i w:val="false"/>
        <w:b w:val="false"/>
        <w:szCs w:val="18"/>
        <w:iCs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dstrike w:val="false"/>
        <w:strike w:val="fals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iCs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44" w:hanging="360"/>
      </w:pPr>
      <w:rPr>
        <w:sz w:val="18"/>
        <w:i w:val="false"/>
        <w:b w:val="false"/>
        <w:szCs w:val="18"/>
        <w:iCs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5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7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9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1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3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5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7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9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34" w:hanging="360"/>
      </w:pPr>
      <w:rPr>
        <w:sz w:val="18"/>
        <w:i w:val="false"/>
        <w:b w:val="false"/>
        <w:szCs w:val="18"/>
        <w:iCs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40d4c"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618da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qFormat/>
    <w:rsid w:val="007f10b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7f10b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7f10b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81fc4"/>
    <w:rPr>
      <w:color w:themeColor="hyperlink" w:val="0000FF"/>
      <w:u w:val="single"/>
    </w:rPr>
  </w:style>
  <w:style w:type="character" w:styleId="StopkaZnak" w:customStyle="1">
    <w:name w:val="Stopka Znak"/>
    <w:basedOn w:val="DefaultParagraphFont"/>
    <w:uiPriority w:val="99"/>
    <w:qFormat/>
    <w:rsid w:val="00c12a9a"/>
    <w:rPr>
      <w:rFonts w:ascii="Calibri" w:hAnsi="Calibri" w:eastAsia="Calibri" w:cs="Calibri"/>
      <w:color w:val="00000A"/>
      <w:sz w:val="22"/>
      <w:szCs w:val="22"/>
      <w:lang w:eastAsia="en-US" w:bidi="ar-SA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724ad9"/>
    <w:rPr>
      <w:rFonts w:ascii="Calibri" w:hAnsi="Calibri" w:eastAsia="Calibri" w:cs="Calibri"/>
      <w:color w:val="00000A"/>
      <w:szCs w:val="20"/>
      <w:lang w:eastAsia="en-US" w:bidi="ar-SA"/>
    </w:rPr>
  </w:style>
  <w:style w:type="character" w:styleId="Znakiprzypiswdolnych">
    <w:name w:val="Znaki przypisów dolnych"/>
    <w:uiPriority w:val="99"/>
    <w:semiHidden/>
    <w:unhideWhenUsed/>
    <w:qFormat/>
    <w:rsid w:val="00724a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3669b6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 w:customStyle="1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ignature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99"/>
    <w:qFormat/>
    <w:rsid w:val="00f40d4c"/>
    <w:pPr>
      <w:spacing w:before="0" w:after="200"/>
      <w:ind w:left="720"/>
      <w:contextualSpacing/>
    </w:pPr>
    <w:rPr/>
  </w:style>
  <w:style w:type="paragraph" w:styleId="Revision">
    <w:name w:val="Revision"/>
    <w:uiPriority w:val="99"/>
    <w:semiHidden/>
    <w:qFormat/>
    <w:rsid w:val="00d618da"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Calibri"/>
      <w:color w:val="00000A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qFormat/>
    <w:rsid w:val="00d618d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kstkomentarzaZnak"/>
    <w:uiPriority w:val="99"/>
    <w:semiHidden/>
    <w:qFormat/>
    <w:rsid w:val="007f10b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qFormat/>
    <w:rsid w:val="007f10b3"/>
    <w:pPr/>
    <w:rPr>
      <w:b/>
      <w:bCs/>
    </w:rPr>
  </w:style>
  <w:style w:type="paragraph" w:styleId="NormalWeb">
    <w:name w:val="Normal (Web)"/>
    <w:basedOn w:val="Normal"/>
    <w:uiPriority w:val="99"/>
    <w:semiHidden/>
    <w:qFormat/>
    <w:rsid w:val="00c15db4"/>
    <w:pPr>
      <w:spacing w:lineRule="auto" w:line="240" w:before="280" w:after="280"/>
    </w:pPr>
    <w:rPr>
      <w:rFonts w:ascii="Arial Unicode MS" w:hAnsi="Arial Unicode MS" w:cs="Arial Unicode MS"/>
      <w:sz w:val="24"/>
      <w:szCs w:val="24"/>
      <w:lang w:eastAsia="pl-PL"/>
    </w:rPr>
  </w:style>
  <w:style w:type="paragraph" w:styleId="Footer">
    <w:name w:val="Footer"/>
    <w:basedOn w:val="Normal"/>
    <w:link w:val="StopkaZnak"/>
    <w:uiPriority w:val="99"/>
    <w:pPr/>
    <w:rPr/>
  </w:style>
  <w:style w:type="paragraph" w:styleId="Zawartotabeli" w:customStyle="1">
    <w:name w:val="Zawartość tabeli"/>
    <w:basedOn w:val="Normal"/>
    <w:qFormat/>
    <w:pPr/>
    <w:rPr/>
  </w:style>
  <w:style w:type="paragraph" w:styleId="Nagwektabeli" w:customStyle="1">
    <w:name w:val="Nagłówek tabeli"/>
    <w:basedOn w:val="Zawartotabeli"/>
    <w:qFormat/>
    <w:pPr/>
    <w:rPr/>
  </w:style>
  <w:style w:type="paragraph" w:styleId="NoSpacing">
    <w:name w:val="No Spacing"/>
    <w:uiPriority w:val="1"/>
    <w:qFormat/>
    <w:rsid w:val="000936c6"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Calibri"/>
      <w:color w:val="00000A"/>
      <w:kern w:val="0"/>
      <w:sz w:val="22"/>
      <w:szCs w:val="22"/>
      <w:lang w:val="pl-PL" w:eastAsia="en-US" w:bidi="ar-SA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724ad9"/>
    <w:pPr>
      <w:spacing w:lineRule="auto" w:line="240" w:before="0" w:after="0"/>
    </w:pPr>
    <w:rPr>
      <w:sz w:val="20"/>
      <w:szCs w:val="20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99"/>
    <w:rsid w:val="00f40d4c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80B2A-AF7E-4515-BB37-0603F67B0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LibreOffice/7.6.2.1$Windows_X86_64 LibreOffice_project/56f7684011345957bbf33a7ee678afaf4d2ba333</Application>
  <AppVersion>15.0000</AppVersion>
  <Pages>4</Pages>
  <Words>712</Words>
  <Characters>4684</Characters>
  <CharactersWithSpaces>5356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2026-09-14T09:35:00Z</dcterms:created>
  <dc:creator>SEBWYP</dc:creator>
  <dc:description/>
  <dc:language>pl-PL</dc:language>
  <cp:lastModifiedBy/>
  <cp:lastPrinted>2025-07-28T09:32:00Z</cp:lastPrinted>
  <dcterms:modified xsi:type="dcterms:W3CDTF">2026-09-15T08:50:07Z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